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7"/>
        <w:pBdr/>
        <w:spacing/>
        <w:ind/>
        <w:rPr/>
      </w:pPr>
      <w:r/>
      <w:r/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  <w:t xml:space="preserve">Zasady etyki publikacyjnej mające na celu </w:t>
      </w:r>
      <w:r>
        <w:rPr>
          <w:b/>
        </w:rPr>
      </w:r>
      <w:r>
        <w:rPr>
          <w:b/>
        </w:rPr>
      </w:r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  <w:t xml:space="preserve">przeciwdziałanie nieuczciwym praktykom publikacyjnym, </w:t>
      </w:r>
      <w:r>
        <w:rPr>
          <w:b/>
        </w:rPr>
      </w:r>
      <w:r>
        <w:rPr>
          <w:b/>
        </w:rPr>
      </w:r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  <w:t xml:space="preserve">w szczególności zgodne z wytycznymi Komitetu do spraw Etyki Publikacyjnej </w:t>
      </w:r>
      <w:r>
        <w:rPr>
          <w:b/>
        </w:rPr>
      </w:r>
      <w:r>
        <w:rPr>
          <w:b/>
        </w:rPr>
      </w:r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  <w:t xml:space="preserve">(COPE – Committee on Publication Ethics)</w:t>
      </w:r>
      <w:r>
        <w:rPr>
          <w:b/>
        </w:rPr>
      </w:r>
      <w:r>
        <w:rPr>
          <w:b/>
        </w:rPr>
      </w:r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  <w:t xml:space="preserve">stosowane w </w:t>
      </w:r>
      <w:r>
        <w:rPr>
          <w:b/>
        </w:rPr>
        <w:t xml:space="preserve">Redakcji Biuletynu GBL Historia</w:t>
      </w:r>
      <w:r>
        <w:rPr>
          <w:b/>
        </w:rPr>
      </w:r>
      <w:r>
        <w:rPr>
          <w:b/>
        </w:rPr>
      </w:r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63"/>
        <w:pBdr/>
        <w:spacing/>
        <w:ind/>
        <w:jc w:val="both"/>
        <w:rPr>
          <w:b/>
          <w:bCs/>
        </w:rPr>
      </w:pPr>
      <w:r>
        <w:t xml:space="preserve">Wydawnictwo w celu przeciwdziałania </w:t>
      </w:r>
      <w:r>
        <w:t xml:space="preserve">nieuczciwym praktykom publikacyjnym</w:t>
      </w:r>
      <w:r>
        <w:t xml:space="preserve"> stosuje zasady obowiązujące w naukach humanistycznych, zwłaszcza określonymi przez COPE Committee on Publication Ethics (Komitet ds. Etyki Publikacyjnej) i zawartymi w </w:t>
      </w:r>
      <w:r>
        <w:rPr>
          <w:rStyle w:val="668"/>
        </w:rPr>
        <w:t xml:space="preserve">Kodeksie Postępowania </w:t>
      </w:r>
      <w:bookmarkStart w:id="0" w:name="_Hlt521151512"/>
      <w:r>
        <w:rPr>
          <w:rStyle w:val="668"/>
        </w:rPr>
        <w:t xml:space="preserve">C</w:t>
      </w:r>
      <w:bookmarkEnd w:id="0"/>
      <w:r>
        <w:rPr>
          <w:rStyle w:val="668"/>
        </w:rPr>
        <w:t xml:space="preserve">OPE</w:t>
      </w:r>
      <w:r>
        <w:rPr>
          <w:rStyle w:val="668"/>
        </w:rPr>
        <w:t xml:space="preserve"> (</w:t>
      </w:r>
      <w:r>
        <w:rPr>
          <w:rStyle w:val="668"/>
        </w:rPr>
        <w:fldChar w:fldCharType="begin"/>
      </w:r>
      <w:r>
        <w:rPr>
          <w:rStyle w:val="668"/>
        </w:rPr>
        <w:instrText xml:space="preserve"> HYPERLINK "</w:instrText>
      </w:r>
      <w:r>
        <w:rPr>
          <w:rStyle w:val="668"/>
        </w:rPr>
        <w:instrText xml:space="preserve">https://publicationethics.org/resources/code-conduct</w:instrText>
      </w:r>
      <w:r>
        <w:rPr>
          <w:rStyle w:val="668"/>
        </w:rPr>
        <w:instrText xml:space="preserve">" </w:instrText>
      </w:r>
      <w:r>
        <w:rPr>
          <w:rStyle w:val="668"/>
        </w:rPr>
        <w:fldChar w:fldCharType="separate"/>
      </w:r>
      <w:r>
        <w:rPr>
          <w:rStyle w:val="669"/>
        </w:rPr>
        <w:t xml:space="preserve">https://publicationethics.org/resources/code-conduct</w:t>
      </w:r>
      <w:r>
        <w:rPr>
          <w:rStyle w:val="668"/>
        </w:rPr>
        <w:fldChar w:fldCharType="end"/>
      </w:r>
      <w:r>
        <w:rPr>
          <w:rStyle w:val="668"/>
        </w:rPr>
        <w:t xml:space="preserve">)</w:t>
      </w:r>
      <w:r>
        <w:t xml:space="preserve">:</w:t>
      </w:r>
      <w:r>
        <w:rPr>
          <w:b/>
          <w:bCs/>
        </w:rPr>
      </w:r>
      <w:r>
        <w:rPr>
          <w:b/>
          <w:bCs/>
        </w:rPr>
      </w:r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  <w:t xml:space="preserve">Zasady etyki wydawniczej</w:t>
      </w:r>
      <w:r>
        <w:rPr>
          <w:b/>
        </w:rPr>
      </w:r>
    </w:p>
    <w:p>
      <w:pPr>
        <w:pStyle w:val="663"/>
        <w:pBdr/>
        <w:spacing/>
        <w:ind/>
        <w:rPr/>
      </w:pPr>
      <w:r>
        <w:rPr>
          <w:rFonts w:hAnsi="Symbol"/>
        </w:rPr>
        <w:t xml:space="preserve">Wydawnictwo</w:t>
      </w:r>
      <w:r>
        <w:t xml:space="preserve"> monitoruje przestrzeganie zasad Kodeksu Etyki Wydawniczej przez autorów, recenzentów oraz inn</w:t>
      </w:r>
      <w:r>
        <w:t xml:space="preserve">e</w:t>
      </w:r>
      <w:r>
        <w:t xml:space="preserve"> </w:t>
      </w:r>
      <w:r>
        <w:t xml:space="preserve">osoby</w:t>
      </w:r>
      <w:r>
        <w:t xml:space="preserve"> związan</w:t>
      </w:r>
      <w:r>
        <w:t xml:space="preserve">e</w:t>
      </w:r>
      <w:r>
        <w:t xml:space="preserve"> z pracami wydawniczymi.</w:t>
      </w:r>
      <w:r/>
    </w:p>
    <w:p>
      <w:pPr>
        <w:pStyle w:val="663"/>
        <w:pBdr/>
        <w:spacing/>
        <w:ind/>
        <w:rPr/>
      </w:pPr>
      <w:r>
        <w:rPr>
          <w:rFonts w:hAnsi="Symbol"/>
        </w:rPr>
        <w:t xml:space="preserve">Wydawnictwo przestrzega </w:t>
      </w:r>
      <w:r>
        <w:t xml:space="preserve">norm etycznych oraz intelektualnych.</w:t>
      </w:r>
      <w:r/>
    </w:p>
    <w:p>
      <w:pPr>
        <w:pStyle w:val="663"/>
        <w:pBdr/>
        <w:spacing/>
        <w:ind/>
        <w:rPr/>
      </w:pPr>
      <w:r>
        <w:rPr>
          <w:rFonts w:hAnsi="Symbol"/>
        </w:rPr>
        <w:t xml:space="preserve">Wydawnictwo dochowuje</w:t>
      </w:r>
      <w:r>
        <w:t xml:space="preserve"> standardów edytorskich.</w:t>
      </w:r>
      <w:r/>
    </w:p>
    <w:p>
      <w:pPr>
        <w:pStyle w:val="663"/>
        <w:pBdr/>
        <w:spacing/>
        <w:ind/>
        <w:jc w:val="both"/>
        <w:rPr/>
      </w:pPr>
      <w:r>
        <w:t xml:space="preserve">Wydawnictwo wymaga od autorów publikacji ujawnienia wkładu poszczególnych autorów w jej powstanie, przy czym główną odpowiedzialność ponosi autor zgłaszający pracę</w:t>
      </w:r>
      <w:r>
        <w:t xml:space="preserve">.</w:t>
      </w:r>
      <w:r>
        <w:t xml:space="preserve"> </w:t>
      </w:r>
      <w:r/>
    </w:p>
    <w:p>
      <w:pPr>
        <w:pStyle w:val="663"/>
        <w:pBdr/>
        <w:spacing/>
        <w:ind/>
        <w:jc w:val="both"/>
        <w:rPr/>
      </w:pPr>
      <w:r>
        <w:t xml:space="preserve">Wydawnictwo informuje, że „</w:t>
      </w:r>
      <w:r>
        <w:rPr>
          <w:bCs/>
          <w:iCs/>
        </w:rPr>
        <w:t xml:space="preserve">ghostwriting</w:t>
      </w:r>
      <w:r>
        <w:t xml:space="preserve">”</w:t>
      </w:r>
      <w:r>
        <w:t xml:space="preserve"> i </w:t>
      </w:r>
      <w:r>
        <w:t xml:space="preserve">„</w:t>
      </w:r>
      <w:r>
        <w:rPr>
          <w:bCs/>
          <w:iCs/>
        </w:rPr>
        <w:t xml:space="preserve">guest</w:t>
      </w:r>
      <w:r>
        <w:rPr>
          <w:b/>
          <w:bCs/>
          <w:i/>
          <w:iCs/>
        </w:rPr>
        <w:t xml:space="preserve"> </w:t>
      </w:r>
      <w:r>
        <w:rPr>
          <w:bCs/>
          <w:iCs/>
        </w:rPr>
        <w:t xml:space="preserve">authorship</w:t>
      </w:r>
      <w:r>
        <w:t xml:space="preserve">” s</w:t>
      </w:r>
      <w:r>
        <w:rPr>
          <w:rFonts w:ascii="TimesNewRoman" w:eastAsia="TimesNewRoman" w:cs="TimesNewRoman"/>
        </w:rPr>
        <w:t xml:space="preserve">ą</w:t>
      </w:r>
      <w:r>
        <w:rPr>
          <w:rFonts w:hint="eastAsia" w:ascii="TimesNewRoman" w:eastAsia="TimesNewRoman" w:cs="TimesNewRoman"/>
        </w:rPr>
        <w:t xml:space="preserve"> </w:t>
      </w:r>
      <w:r>
        <w:t xml:space="preserve">przejawem nierzetelno</w:t>
      </w:r>
      <w:r>
        <w:rPr>
          <w:rFonts w:ascii="TimesNewRoman" w:eastAsia="TimesNewRoman" w:cs="TimesNewRoman"/>
        </w:rPr>
        <w:t xml:space="preserve">ś</w:t>
      </w:r>
      <w:r>
        <w:t xml:space="preserve">ci naukowej, a o wszelkich wykrytych przypadkach b</w:t>
      </w:r>
      <w:r>
        <w:rPr>
          <w:rFonts w:eastAsia="TimesNewRoman"/>
        </w:rPr>
        <w:t xml:space="preserve">ę</w:t>
      </w:r>
      <w:r>
        <w:t xml:space="preserve">d</w:t>
      </w:r>
      <w:r>
        <w:rPr>
          <w:rFonts w:eastAsia="TimesNewRoman"/>
        </w:rPr>
        <w:t xml:space="preserve">ą informowane</w:t>
      </w:r>
      <w:r>
        <w:t xml:space="preserve"> placówki zatrudniaj</w:t>
      </w:r>
      <w:r>
        <w:rPr>
          <w:rFonts w:eastAsia="TimesNewRoman"/>
        </w:rPr>
        <w:t xml:space="preserve">ą</w:t>
      </w:r>
      <w:r>
        <w:t xml:space="preserve">ce </w:t>
      </w:r>
      <w:r>
        <w:t xml:space="preserve">autorów oraz wszelkie zainteresowane instytucje</w:t>
      </w:r>
      <w:r>
        <w:t xml:space="preserve">.</w:t>
      </w:r>
      <w:r/>
    </w:p>
    <w:p>
      <w:pPr>
        <w:pStyle w:val="663"/>
        <w:pBdr/>
        <w:spacing/>
        <w:ind/>
        <w:jc w:val="both"/>
        <w:rPr>
          <w:lang w:eastAsia="en-US"/>
        </w:rPr>
      </w:pPr>
      <w:r>
        <w:t xml:space="preserve">Wydawnictwo wymaga informacji o źródłach finansowania publikacji, wkładzie instytucji naukowo-badawczych, stowarzyszeń i innych podmiotów („financial disclosure”)</w:t>
      </w:r>
      <w:r>
        <w:t xml:space="preserve">.</w:t>
      </w:r>
      <w:r>
        <w:t xml:space="preserve"> </w:t>
      </w:r>
      <w:r>
        <w:rPr>
          <w:lang w:eastAsia="en-US"/>
        </w:rPr>
      </w:r>
      <w:r>
        <w:rPr>
          <w:lang w:eastAsia="en-US"/>
        </w:rPr>
      </w:r>
    </w:p>
    <w:p>
      <w:pPr>
        <w:pStyle w:val="663"/>
        <w:pBdr/>
        <w:spacing/>
        <w:ind/>
        <w:rPr/>
      </w:pPr>
      <w:r>
        <w:t xml:space="preserve">Wydawnictwo dokumentuje wszelkie przejawy nierzetelności naukowej, zwłaszcza łamania i naruszania zasad etyki obowiązujących w nauce</w:t>
      </w:r>
      <w:r>
        <w:t xml:space="preserve">.</w:t>
      </w:r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both"/>
        <w:rPr/>
      </w:pPr>
      <w:r>
        <w:t xml:space="preserve">Pomoc i doradztwo w przestrzeganiu etyki wydawniczej stanowi </w:t>
      </w:r>
      <w:r>
        <w:rPr>
          <w:rStyle w:val="668"/>
        </w:rPr>
        <w:t xml:space="preserve">Zestaw Źródeł z Zakresu Etyki Wydawniczej</w:t>
      </w:r>
      <w:r>
        <w:rPr>
          <w:rStyle w:val="668"/>
        </w:rPr>
        <w:t xml:space="preserve"> (</w:t>
      </w:r>
      <w:r>
        <w:rPr>
          <w:rStyle w:val="668"/>
        </w:rPr>
        <w:fldChar w:fldCharType="begin"/>
      </w:r>
      <w:r>
        <w:rPr>
          <w:rStyle w:val="668"/>
        </w:rPr>
        <w:instrText xml:space="preserve"> HYPERLINK "</w:instrText>
      </w:r>
      <w:r>
        <w:rPr>
          <w:rStyle w:val="668"/>
        </w:rPr>
        <w:instrText xml:space="preserve">https://www.elsevier.com/about/policies/publishing-ethics</w:instrText>
      </w:r>
      <w:r>
        <w:rPr>
          <w:rStyle w:val="668"/>
        </w:rPr>
        <w:instrText xml:space="preserve">" </w:instrText>
      </w:r>
      <w:r>
        <w:rPr>
          <w:rStyle w:val="668"/>
        </w:rPr>
        <w:fldChar w:fldCharType="separate"/>
      </w:r>
      <w:r>
        <w:rPr>
          <w:rStyle w:val="669"/>
        </w:rPr>
        <w:t xml:space="preserve">https://www.elsevier.com/about/policies/publishing-ethics</w:t>
      </w:r>
      <w:r>
        <w:rPr>
          <w:rStyle w:val="668"/>
        </w:rPr>
        <w:fldChar w:fldCharType="end"/>
      </w:r>
      <w:r>
        <w:rPr>
          <w:rStyle w:val="668"/>
        </w:rPr>
        <w:t xml:space="preserve">)</w:t>
      </w:r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  <w:t xml:space="preserve">Obowiązki</w:t>
      </w:r>
      <w:r>
        <w:rPr>
          <w:b/>
        </w:rPr>
        <w:t xml:space="preserve"> Wydawnictwa:</w:t>
      </w:r>
      <w:r>
        <w:rPr>
          <w:b/>
        </w:rPr>
      </w:r>
    </w:p>
    <w:p>
      <w:pPr>
        <w:pStyle w:val="663"/>
        <w:pBdr/>
        <w:spacing/>
        <w:ind/>
        <w:rPr>
          <w:rFonts w:hAnsi="Symbol"/>
        </w:rPr>
      </w:pPr>
      <w:r>
        <w:rPr>
          <w:rFonts w:hAnsi="Symbol"/>
        </w:rPr>
        <w:t xml:space="preserve">- </w:t>
      </w:r>
      <w:r>
        <w:rPr>
          <w:rFonts w:hAnsi="Symbol"/>
        </w:rPr>
        <w:t xml:space="preserve">prowadzenie </w:t>
      </w:r>
      <w:r>
        <w:rPr>
          <w:rFonts w:hAnsi="Symbol"/>
        </w:rPr>
        <w:t xml:space="preserve">niezale</w:t>
      </w:r>
      <w:r>
        <w:t xml:space="preserve">ż</w:t>
      </w:r>
      <w:r>
        <w:rPr>
          <w:rFonts w:hAnsi="Symbol"/>
        </w:rPr>
        <w:t xml:space="preserve">n</w:t>
      </w:r>
      <w:r>
        <w:rPr>
          <w:rFonts w:hAnsi="Symbol"/>
        </w:rPr>
        <w:t xml:space="preserve">ej</w:t>
      </w:r>
      <w:r>
        <w:rPr>
          <w:rFonts w:hAnsi="Symbol"/>
        </w:rPr>
        <w:t xml:space="preserve"> i bezstronn</w:t>
      </w:r>
      <w:r>
        <w:rPr>
          <w:rFonts w:hAnsi="Symbol"/>
        </w:rPr>
        <w:t xml:space="preserve">ej polityki wydawniczej</w:t>
      </w:r>
      <w:r>
        <w:rPr>
          <w:rFonts w:hAnsi="Symbol"/>
        </w:rPr>
        <w:t xml:space="preserve">;</w:t>
      </w:r>
      <w:r>
        <w:rPr>
          <w:rFonts w:hAnsi="Symbol"/>
        </w:rPr>
      </w:r>
    </w:p>
    <w:p>
      <w:pPr>
        <w:pStyle w:val="663"/>
        <w:pBdr/>
        <w:spacing/>
        <w:ind/>
        <w:rPr/>
      </w:pPr>
      <w:r>
        <w:t xml:space="preserve">- </w:t>
      </w:r>
      <w:r>
        <w:t xml:space="preserve">podejmowanie</w:t>
      </w:r>
      <w:r>
        <w:t xml:space="preserve"> </w:t>
      </w:r>
      <w:r>
        <w:t xml:space="preserve">decyzj</w:t>
      </w:r>
      <w:r>
        <w:t xml:space="preserve">i</w:t>
      </w:r>
      <w:r>
        <w:t xml:space="preserve"> o przyjęciu prac do druku </w:t>
      </w:r>
      <w:r>
        <w:t xml:space="preserve">przez Wydawnictwo w sposób jawny i przejrzysty;</w:t>
      </w:r>
      <w:r/>
    </w:p>
    <w:p>
      <w:pPr>
        <w:pStyle w:val="663"/>
        <w:pBdr/>
        <w:spacing/>
        <w:ind/>
        <w:jc w:val="both"/>
        <w:rPr/>
      </w:pPr>
      <w:r>
        <w:t xml:space="preserve">- </w:t>
      </w:r>
      <w:r>
        <w:t xml:space="preserve">zapewnienie</w:t>
      </w:r>
      <w:r>
        <w:t xml:space="preserve"> poufnoś</w:t>
      </w:r>
      <w:r>
        <w:t xml:space="preserve">ci</w:t>
      </w:r>
      <w:r>
        <w:t xml:space="preserve"> i bezpieczeństw</w:t>
      </w:r>
      <w:r>
        <w:t xml:space="preserve">a</w:t>
      </w:r>
      <w:r>
        <w:t xml:space="preserve"> danych osobowych.</w:t>
      </w:r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center"/>
        <w:rPr>
          <w:b/>
        </w:rPr>
      </w:pPr>
      <w:r>
        <w:rPr>
          <w:b/>
        </w:rPr>
        <w:t xml:space="preserve">Obowiązki Autorów:</w:t>
      </w:r>
      <w:r>
        <w:rPr>
          <w:b/>
        </w:rPr>
      </w:r>
      <w:r>
        <w:rPr>
          <w:b/>
        </w:rPr>
      </w:r>
    </w:p>
    <w:p>
      <w:pPr>
        <w:pStyle w:val="663"/>
        <w:pBdr/>
        <w:spacing/>
        <w:ind/>
        <w:jc w:val="both"/>
        <w:rPr>
          <w:b/>
        </w:rPr>
      </w:pPr>
      <w:r>
        <w:t xml:space="preserve">- Autorzy składają oświadczenie, że </w:t>
      </w:r>
      <w:r>
        <w:t xml:space="preserve">zapozna</w:t>
      </w:r>
      <w:r>
        <w:t xml:space="preserve">li</w:t>
      </w:r>
      <w:r>
        <w:t xml:space="preserve"> się z Kodeksem Etyki </w:t>
      </w:r>
      <w:r>
        <w:t xml:space="preserve">Biuletynu GBL Historia</w:t>
      </w:r>
      <w:r>
        <w:t xml:space="preserve">;</w:t>
      </w:r>
      <w:r>
        <w:rPr>
          <w:b/>
        </w:rPr>
      </w:r>
      <w:r>
        <w:rPr>
          <w:b/>
        </w:rPr>
      </w:r>
    </w:p>
    <w:p>
      <w:pPr>
        <w:pStyle w:val="663"/>
        <w:pBdr/>
        <w:spacing/>
        <w:ind/>
        <w:jc w:val="both"/>
        <w:rPr/>
      </w:pPr>
      <w:r>
        <w:t xml:space="preserve">- Autorzy składają oświadczenie, że przesłana praca jest utworem oryginalnym, nienaruszającym praw osób trzecich, przygotowanym samodzielnie i nig</w:t>
      </w:r>
      <w:r>
        <w:t xml:space="preserve">dzie wcześniej niepublikowanym</w:t>
      </w:r>
      <w:r>
        <w:t xml:space="preserve">;</w:t>
      </w:r>
      <w:r/>
    </w:p>
    <w:p>
      <w:pPr>
        <w:pStyle w:val="663"/>
        <w:pBdr/>
        <w:spacing/>
        <w:ind/>
        <w:jc w:val="both"/>
        <w:rPr/>
      </w:pPr>
      <w:r>
        <w:t xml:space="preserve">- Autorzy w </w:t>
      </w:r>
      <w:r>
        <w:t xml:space="preserve">przypadku </w:t>
      </w:r>
      <w:r>
        <w:t xml:space="preserve">współautorstwa są zobowiązani do </w:t>
      </w:r>
      <w:r>
        <w:t xml:space="preserve">określ</w:t>
      </w:r>
      <w:r>
        <w:t xml:space="preserve">enia</w:t>
      </w:r>
      <w:r>
        <w:t xml:space="preserve"> własn</w:t>
      </w:r>
      <w:r>
        <w:t xml:space="preserve">ego</w:t>
      </w:r>
      <w:r>
        <w:t xml:space="preserve"> wkład</w:t>
      </w:r>
      <w:r>
        <w:t xml:space="preserve">u</w:t>
      </w:r>
      <w:r>
        <w:t xml:space="preserve"> autorski</w:t>
      </w:r>
      <w:r>
        <w:t xml:space="preserve">ego.</w:t>
      </w:r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both"/>
        <w:rPr/>
      </w:pPr>
      <w:r>
        <w:t xml:space="preserve">(</w:t>
      </w:r>
      <w:r>
        <w:rPr>
          <w:b/>
          <w:bCs/>
        </w:rPr>
        <w:t xml:space="preserve">załącznik nr </w:t>
      </w:r>
      <w:r>
        <w:rPr>
          <w:b/>
          <w:bCs/>
        </w:rPr>
        <w:t xml:space="preserve">1</w:t>
      </w:r>
      <w:r>
        <w:t xml:space="preserve">)</w:t>
      </w:r>
      <w:r/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l-PL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3"/>
    <w:next w:val="66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3"/>
    <w:next w:val="66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3"/>
    <w:next w:val="66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3"/>
    <w:next w:val="66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3"/>
    <w:next w:val="66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3"/>
    <w:next w:val="66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3"/>
    <w:next w:val="66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3"/>
    <w:next w:val="66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3"/>
    <w:next w:val="66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3"/>
    <w:next w:val="66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3"/>
    <w:next w:val="66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3"/>
    <w:next w:val="66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3"/>
    <w:next w:val="66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3"/>
    <w:next w:val="66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3"/>
    <w:next w:val="663"/>
    <w:uiPriority w:val="39"/>
    <w:unhideWhenUsed/>
    <w:pPr>
      <w:pBdr/>
      <w:spacing w:after="100"/>
      <w:ind/>
    </w:pPr>
  </w:style>
  <w:style w:type="paragraph" w:styleId="190">
    <w:name w:val="toc 2"/>
    <w:basedOn w:val="663"/>
    <w:next w:val="663"/>
    <w:uiPriority w:val="39"/>
    <w:unhideWhenUsed/>
    <w:pPr>
      <w:pBdr/>
      <w:spacing w:after="100"/>
      <w:ind w:left="220"/>
    </w:pPr>
  </w:style>
  <w:style w:type="paragraph" w:styleId="191">
    <w:name w:val="toc 3"/>
    <w:basedOn w:val="663"/>
    <w:next w:val="663"/>
    <w:uiPriority w:val="39"/>
    <w:unhideWhenUsed/>
    <w:pPr>
      <w:pBdr/>
      <w:spacing w:after="100"/>
      <w:ind w:left="440"/>
    </w:pPr>
  </w:style>
  <w:style w:type="paragraph" w:styleId="192">
    <w:name w:val="toc 4"/>
    <w:basedOn w:val="663"/>
    <w:next w:val="663"/>
    <w:uiPriority w:val="39"/>
    <w:unhideWhenUsed/>
    <w:pPr>
      <w:pBdr/>
      <w:spacing w:after="100"/>
      <w:ind w:left="660"/>
    </w:pPr>
  </w:style>
  <w:style w:type="paragraph" w:styleId="193">
    <w:name w:val="toc 5"/>
    <w:basedOn w:val="663"/>
    <w:next w:val="663"/>
    <w:uiPriority w:val="39"/>
    <w:unhideWhenUsed/>
    <w:pPr>
      <w:pBdr/>
      <w:spacing w:after="100"/>
      <w:ind w:left="880"/>
    </w:pPr>
  </w:style>
  <w:style w:type="paragraph" w:styleId="194">
    <w:name w:val="toc 6"/>
    <w:basedOn w:val="663"/>
    <w:next w:val="663"/>
    <w:uiPriority w:val="39"/>
    <w:unhideWhenUsed/>
    <w:pPr>
      <w:pBdr/>
      <w:spacing w:after="100"/>
      <w:ind w:left="1100"/>
    </w:pPr>
  </w:style>
  <w:style w:type="paragraph" w:styleId="195">
    <w:name w:val="toc 7"/>
    <w:basedOn w:val="663"/>
    <w:next w:val="663"/>
    <w:uiPriority w:val="39"/>
    <w:unhideWhenUsed/>
    <w:pPr>
      <w:pBdr/>
      <w:spacing w:after="100"/>
      <w:ind w:left="1320"/>
    </w:pPr>
  </w:style>
  <w:style w:type="paragraph" w:styleId="196">
    <w:name w:val="toc 8"/>
    <w:basedOn w:val="663"/>
    <w:next w:val="663"/>
    <w:uiPriority w:val="39"/>
    <w:unhideWhenUsed/>
    <w:pPr>
      <w:pBdr/>
      <w:spacing w:after="100"/>
      <w:ind w:left="1540"/>
    </w:pPr>
  </w:style>
  <w:style w:type="paragraph" w:styleId="197">
    <w:name w:val="toc 9"/>
    <w:basedOn w:val="663"/>
    <w:next w:val="66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3"/>
    <w:next w:val="663"/>
    <w:uiPriority w:val="99"/>
    <w:unhideWhenUsed/>
    <w:pPr>
      <w:pBdr/>
      <w:spacing w:after="0" w:afterAutospacing="0"/>
      <w:ind/>
    </w:pPr>
  </w:style>
  <w:style w:type="paragraph" w:styleId="663" w:default="1">
    <w:name w:val="Normal"/>
    <w:next w:val="663"/>
    <w:link w:val="663"/>
    <w:qFormat/>
    <w:pPr>
      <w:pBdr/>
      <w:spacing/>
      <w:ind/>
    </w:pPr>
    <w:rPr>
      <w:sz w:val="24"/>
      <w:szCs w:val="24"/>
      <w:lang w:val="pl-PL" w:eastAsia="pl-PL" w:bidi="ar-SA"/>
    </w:rPr>
  </w:style>
  <w:style w:type="character" w:styleId="664">
    <w:name w:val="Domyślna czcionka akapitu"/>
    <w:next w:val="664"/>
    <w:link w:val="663"/>
    <w:semiHidden/>
    <w:pPr>
      <w:pBdr/>
      <w:spacing/>
      <w:ind/>
    </w:pPr>
  </w:style>
  <w:style w:type="table" w:styleId="665">
    <w:name w:val="Standardowy"/>
    <w:next w:val="665"/>
    <w:link w:val="663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>
    <w:name w:val="Bez listy"/>
    <w:next w:val="666"/>
    <w:link w:val="663"/>
    <w:semiHidden/>
    <w:pPr>
      <w:pBdr/>
      <w:spacing/>
      <w:ind/>
    </w:pPr>
  </w:style>
  <w:style w:type="paragraph" w:styleId="667">
    <w:name w:val="Default"/>
    <w:next w:val="667"/>
    <w:link w:val="663"/>
    <w:pPr>
      <w:pBdr/>
      <w:spacing/>
      <w:ind/>
    </w:pPr>
    <w:rPr>
      <w:color w:val="000000"/>
      <w:sz w:val="24"/>
      <w:szCs w:val="24"/>
      <w:lang w:val="pl-PL" w:eastAsia="pl-PL" w:bidi="ar-SA"/>
    </w:rPr>
  </w:style>
  <w:style w:type="character" w:styleId="668">
    <w:name w:val="Pogrubienie"/>
    <w:next w:val="668"/>
    <w:link w:val="663"/>
    <w:qFormat/>
    <w:pPr>
      <w:pBdr/>
      <w:spacing/>
      <w:ind/>
    </w:pPr>
    <w:rPr>
      <w:b/>
      <w:bCs/>
    </w:rPr>
  </w:style>
  <w:style w:type="character" w:styleId="669">
    <w:name w:val="Hiperłącze"/>
    <w:next w:val="669"/>
    <w:link w:val="663"/>
    <w:pPr>
      <w:pBdr/>
      <w:spacing/>
      <w:ind/>
    </w:pPr>
    <w:rPr>
      <w:color w:val="0000ff"/>
      <w:u w:val="single"/>
    </w:rPr>
  </w:style>
  <w:style w:type="character" w:styleId="670">
    <w:name w:val="UżyteHiperłącze"/>
    <w:next w:val="670"/>
    <w:link w:val="663"/>
    <w:pPr>
      <w:pBdr/>
      <w:spacing/>
      <w:ind/>
    </w:pPr>
    <w:rPr>
      <w:color w:val="800080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>ja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Bonarek</dc:creator>
  <cp:revision>9</cp:revision>
  <dcterms:created xsi:type="dcterms:W3CDTF">2018-08-04T11:04:00Z</dcterms:created>
  <dcterms:modified xsi:type="dcterms:W3CDTF">2026-09-15T18:32:58Z</dcterms:modified>
  <cp:version>786432</cp:version>
</cp:coreProperties>
</file>